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8"/>
        <w:ind w:left="0" w:right="0" w:firstLine="0"/>
        <w:jc w:val="both"/>
        <w:spacing w:before="322" w:after="322"/>
        <w:rPr>
          <w:sz w:val="36"/>
          <w:szCs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  <w:t xml:space="preserve">1. UVOD, METODOLOŠKI OKVIR I ZNAČAJ ISTRAŽIVANJA</w:t>
      </w:r>
      <w:r>
        <w:rPr>
          <w:rFonts w:ascii="Times New Roman" w:hAnsi="Times New Roman" w:eastAsia="Times New Roman" w:cs="Times New Roman"/>
          <w:sz w:val="36"/>
          <w:szCs w:val="36"/>
        </w:rPr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Demografske promene u savremenim društvima predstavljaju jedan od ključnih izazova socioekonomskog razvoja, posebno u kontekstu starenja stanovništva, promena porodičnih obrazaca i transformacije bračnih odnosa. Bračni status i veličina domaćinstva spadaju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među osnovne demografske pokazatelje koji omogućavaju sagledavanje dubinskih strukturnih procesa unutar jedne populacije, jer reflektuju istovremeno starosnu strukturu, fertilitet, mortalitet, kulturne obrasce i socioekonomske uslove života.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 Republici Srbiji, regionalne i lokalne razlike u bračnom ponašanju ukazuju na neujednačen tok demografske tranzicije. Analiza ovih razlika na nivou gradova omogućava preciznije razumevanje lokalnih demograf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skih dinamika, kao i identifikaciju specifičnih obrazaca koji se ne mogu uočiti na nacionalnom nivou.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Ovaj rad se fokusira na analizu stanovništva starog 15 i više godina prema bračnom statusu i polu, sa ciljem da se sagledaju razlike u bračnim i porodičnim obrascima između tri gradske sredine u Srbiji, na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osnovu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publikacije Opštine i re3gioni u Republici Srbiji 2025., dostupnoj na </w:t>
      </w:r>
      <w:r>
        <w:rPr>
          <w:rFonts w:ascii="Times New Roman" w:hAnsi="Times New Roman" w:eastAsia="Times New Roman" w:cs="Times New Roman"/>
          <w:color w:val="000000"/>
          <w:sz w:val="24"/>
        </w:rPr>
      </w:r>
      <w:hyperlink r:id="rId10" w:tooltip="https://publikacije.stat.gov.rs/G2025/Pdf/G202513052.pdf" w:history="1">
        <w:r>
          <w:rPr>
            <w:rStyle w:val="846"/>
            <w:rFonts w:ascii="Times New Roman" w:hAnsi="Times New Roman" w:eastAsia="Times New Roman" w:cs="Times New Roman"/>
            <w:sz w:val="24"/>
          </w:rPr>
          <w:t xml:space="preserve">https://publikacije.stat.gov.rs/G2025/Pdf/G202513052.pdf</w:t>
        </w:r>
        <w:r>
          <w:rPr>
            <w:rStyle w:val="846"/>
            <w:rFonts w:ascii="Times New Roman" w:hAnsi="Times New Roman" w:eastAsia="Times New Roman" w:cs="Times New Roman"/>
            <w:sz w:val="24"/>
          </w:rPr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Predmet istraživanja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jesu:</w:t>
      </w:r>
      <w:r/>
    </w:p>
    <w:p>
      <w:pPr>
        <w:pStyle w:val="868"/>
        <w:numPr>
          <w:ilvl w:val="0"/>
          <w:numId w:val="1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bračni status stanovništva starog 15 i više godina (neoženjeni/neudate, oženjeni/udate, razvedeni/razvedene, udovci/udovice),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Osnovni cilj istraživanja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jeste da se:</w:t>
      </w:r>
      <w:r/>
    </w:p>
    <w:p>
      <w:pPr>
        <w:pStyle w:val="868"/>
        <w:numPr>
          <w:ilvl w:val="0"/>
          <w:numId w:val="3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identifikuju i uporede obrasci bračnog ponašanja po gradovima,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Istraživanje je zasnovano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sekundarnoj analizi zvaničnih statističkih podataka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iz publikacije Opštine i re3gioni u Republici Srbiji 2025., dostupnoj na </w:t>
      </w:r>
      <w:r>
        <w:rPr>
          <w:rFonts w:ascii="Times New Roman" w:hAnsi="Times New Roman" w:eastAsia="Times New Roman" w:cs="Times New Roman"/>
          <w:color w:val="000000"/>
          <w:sz w:val="24"/>
        </w:rPr>
      </w:r>
      <w:hyperlink r:id="rId11" w:tooltip="https://publikacije.stat.gov.rs/G2025/Pdf/G202513052.pdf" w:history="1">
        <w:r>
          <w:rPr>
            <w:rStyle w:val="846"/>
            <w:rFonts w:ascii="Times New Roman" w:hAnsi="Times New Roman" w:eastAsia="Times New Roman" w:cs="Times New Roman"/>
            <w:sz w:val="24"/>
          </w:rPr>
          <w:t xml:space="preserve">https://publikacije.stat.gov.rs/G2025/Pdf/G202513052.pdf</w:t>
        </w:r>
        <w:r>
          <w:rPr>
            <w:rStyle w:val="846"/>
            <w:rFonts w:ascii="Times New Roman" w:hAnsi="Times New Roman" w:eastAsia="Times New Roman" w:cs="Times New Roman"/>
            <w:sz w:val="24"/>
          </w:rPr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Primijenjene su sledeće metode:</w:t>
      </w:r>
      <w:r/>
    </w:p>
    <w:p>
      <w:pPr>
        <w:pStyle w:val="868"/>
        <w:numPr>
          <w:ilvl w:val="0"/>
          <w:numId w:val="6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deskriptivna statistička analiza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(apsolutni brojevi i procentualni udeli),</w:t>
      </w:r>
      <w:r/>
    </w:p>
    <w:p>
      <w:pPr>
        <w:pStyle w:val="868"/>
        <w:numPr>
          <w:ilvl w:val="0"/>
          <w:numId w:val="7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uporedna analiza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između gradova,</w:t>
      </w:r>
      <w:r/>
    </w:p>
    <w:p>
      <w:pPr>
        <w:pStyle w:val="868"/>
        <w:numPr>
          <w:ilvl w:val="0"/>
          <w:numId w:val="8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strukturna analiza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po polu i bračnom statusu,</w:t>
      </w:r>
      <w:r/>
    </w:p>
    <w:p>
      <w:pPr>
        <w:pStyle w:val="868"/>
        <w:numPr>
          <w:ilvl w:val="0"/>
          <w:numId w:val="9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interpretativna demografska analiza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u kojoj se dobijeni pokazatelji dovode u vezu sa starosnom strukturom i porodičnim obrascima.</w:t>
      </w:r>
      <w:r/>
    </w:p>
    <w:p>
      <w:pPr>
        <w:shd w:val="nil" w:color="auto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highlight w:val="none"/>
        </w:rPr>
      </w:r>
      <w:r/>
    </w:p>
    <w:p>
      <w:pPr>
        <w:pStyle w:val="688"/>
        <w:ind w:left="0" w:right="0" w:firstLine="0"/>
        <w:spacing w:before="322" w:after="322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</w:r>
      <w:r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  <w:t xml:space="preserve">2. ANALIZA BRAČNOG STATUSA STANOVNIŠTVA PO GRADOVIMA</w:t>
      </w:r>
      <w:r>
        <w:rPr>
          <w:sz w:val="32"/>
          <w:szCs w:val="32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Analiza bračnog statusa stanovništva starog 15 i više godina predstavlja ključni segment demografskog istraživanja, jer omogućava sagledavanje obrazaca porodičnog formiranja, stabilnosti bračnih zajednica i potencijala buduće bračnosti. U ovom poglavlju an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alizirana je struktura bračnog statusa po polu u tri gradske sredine: Čačak, Kraljevo i Novi Pazar, na osnovu podataka Popisa stanovništva 2022. godine:</w:t>
      </w:r>
      <w:r/>
    </w:p>
    <w:p>
      <w:pPr>
        <w:ind w:left="0" w:right="0" w:firstLine="0"/>
        <w:spacing w:before="240" w:after="240"/>
        <w:rPr>
          <w:rFonts w:ascii="Times New Roman" w:hAnsi="Times New Roman" w:eastAsia="Times New Roman" w:cs="Times New Roman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Tabela 1. Stanovništvo staro 15 i više godina prema bračnom statusu i polu – Čačak</w:t>
      </w:r>
      <w:r>
        <w:rPr>
          <w:rFonts w:ascii="Times New Roman" w:hAnsi="Times New Roman" w:eastAsia="Times New Roman" w:cs="Times New Roman"/>
          <w:b/>
          <w:bCs/>
          <w:sz w:val="24"/>
        </w:rPr>
        <w:t xml:space="preserve">, Kraljevo i Novi Pazar</w:t>
      </w:r>
      <w:r/>
    </w:p>
    <w:tbl>
      <w:tblPr>
        <w:tblStyle w:val="72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134"/>
        <w:gridCol w:w="1843"/>
        <w:gridCol w:w="1843"/>
        <w:gridCol w:w="1276"/>
        <w:gridCol w:w="1487"/>
      </w:tblGrid>
      <w:tr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Neoženjen/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neudata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Oženjen/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udata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Udovac/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udovica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Razveden/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razvedena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shd w:val="clear" w:color="d9d9d9" w:themeColor="background1" w:themeShade="D9" w:fill="d9d9d9" w:themeFill="background1" w:themeFillShade="D9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Čačak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Muškarci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43.178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14.316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24.461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2.203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2.162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Žene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47.275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10.363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24.804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8.936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3.108</w:t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Kraljevo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Muškarci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46.406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15.959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25.192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2.372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2.263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Žene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48.823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10.739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25.618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9.355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3.030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shd w:val="clear" w:color="d9d9d9" w:themeColor="background1" w:themeShade="D9" w:fill="d9d9d9" w:themeFill="background1" w:themeFillShade="D9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Novi Pazar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Muškarci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41.450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15.099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23.650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1.488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922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Žene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42.627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11.690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24.156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5.110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1.381</w:t>
            </w:r>
            <w:r/>
          </w:p>
        </w:tc>
      </w:tr>
    </w:tbl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U sva tri grada udeo neoženjenih muškaraca veći je od udela neudatih žena, što predstavlja uobičajen demografski obrazac. Međutim, razlike su najizraženije u Čačku i Kraljevu, dok je u Novom Pazaru odnos polova uravnoteženiji, što ukazuje na sinhronizovan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ije bračno ponašanje.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Rezultati analize bračnog statusa jasno ukazuju na postojanje dva različita demografska modela. Čačak i Kraljevo karakterišu stabilni, ali demografski zreli obrasci, sa visokim udelom udovica i ograničenim potencijalom buduće bračnosti. Nasuprot tome, Novi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Pazar pokazuje obrazac mlađe i dinamičnije populacije, sa većim udelom neoženjenih i neudatih, ali i snažno očuvanom bračnom institucijom.</w:t>
      </w:r>
      <w:r/>
    </w:p>
    <w:p>
      <w:pPr>
        <w:shd w:val="nil" w:color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  <w:t xml:space="preserve">3. UDEO OŽENJENIH / UDATIH U POPULACIJI STARIJIH OD 15 GODINA</w:t>
      </w: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Udeo oženjenih i udatih u ukupnoj populaciji starijoj od 15 godina u gradovima Čačak (54,46%), Kraljevo (53,36%) i Novi Pazar (56,86%) može se oceniti kao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izuzetno nizak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posebno imajući u vidu da obuhvaćena populacija uključuje sve starosne kohorte od 15 godina naviše.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Tabela 2 – Udeo oženjenih/udatih u populaciji starijih od 15 godina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tbl>
      <w:tblPr>
        <w:tblStyle w:val="72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23"/>
        <w:gridCol w:w="1622"/>
        <w:gridCol w:w="1623"/>
        <w:gridCol w:w="1523"/>
        <w:gridCol w:w="1523"/>
        <w:gridCol w:w="1523"/>
      </w:tblGrid>
      <w:tr>
        <w:trPr>
          <w:trHeight w:val="10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1523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17" w:lineRule="atLeast"/>
              <w:rPr>
                <w:rFonts w:ascii="Caladea" w:hAnsi="Caladea" w:cs="Caladea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Caladea" w:hAnsi="Caladea" w:cs="Caladea"/>
                <w:b w:val="0"/>
                <w:b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30" w:type="dxa"/>
              <w:right w:w="0" w:type="dxa"/>
              <w:bottom w:w="30" w:type="dxa"/>
            </w:tcMar>
            <w:tcW w:w="1622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17" w:lineRule="atLeast"/>
              <w:rPr>
                <w:rFonts w:ascii="Caladea" w:hAnsi="Caladea" w:cs="Caladea"/>
                <w:b w:val="0"/>
                <w:bCs w:val="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Caladea" w:hAnsi="Caladea" w:eastAsia="Times New Roman" w:cs="Caladea"/>
                <w:b w:val="0"/>
                <w:bCs w:val="0"/>
                <w:color w:val="000000"/>
                <w:sz w:val="24"/>
                <w:szCs w:val="24"/>
              </w:rPr>
              <w:t xml:space="preserve">Broj stanovnika starijih od 15 godina</w:t>
            </w:r>
            <w:r>
              <w:rPr>
                <w:rFonts w:ascii="Caladea" w:hAnsi="Caladea" w:cs="Caladea"/>
                <w:b w:val="0"/>
                <w:b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1623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17" w:lineRule="atLeast"/>
              <w:rPr>
                <w:rFonts w:ascii="Caladea" w:hAnsi="Caladea" w:cs="Caladea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Caladea" w:hAnsi="Caladea" w:eastAsia="Arial" w:cs="Caladea"/>
                <w:b w:val="0"/>
                <w:bCs w:val="0"/>
                <w:color w:val="000000"/>
                <w:sz w:val="24"/>
                <w:szCs w:val="24"/>
              </w:rPr>
              <w:t xml:space="preserve">Oženje/udata</w:t>
            </w:r>
            <w:r>
              <w:rPr>
                <w:rFonts w:ascii="Caladea" w:hAnsi="Caladea" w:cs="Caladea"/>
                <w:b w:val="0"/>
                <w:b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1523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17" w:lineRule="atLeast"/>
              <w:rPr>
                <w:rFonts w:ascii="Caladea" w:hAnsi="Caladea" w:eastAsia="Arial" w:cs="Caladea"/>
                <w:b/>
                <w:bCs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Caladea" w:hAnsi="Caladea" w:eastAsia="Arial" w:cs="Caladea"/>
                <w:b/>
                <w:bCs/>
                <w:color w:val="000000"/>
                <w:sz w:val="24"/>
                <w:szCs w:val="24"/>
              </w:rPr>
              <w:t xml:space="preserve">% </w:t>
            </w:r>
            <w:r>
              <w:rPr>
                <w:rFonts w:ascii="Caladea" w:hAnsi="Caladea" w:cs="Caladea"/>
                <w:b/>
                <w:bCs/>
                <w:sz w:val="24"/>
                <w:szCs w:val="24"/>
              </w:rPr>
            </w:r>
            <w:r>
              <w:rPr>
                <w:b/>
                <w:bCs/>
              </w:rPr>
            </w:r>
          </w:p>
          <w:p>
            <w:pPr>
              <w:contextualSpacing w:val="0"/>
              <w:ind w:left="0" w:right="0" w:firstLine="0"/>
              <w:jc w:val="center"/>
              <w:spacing w:before="0" w:after="0" w:line="17" w:lineRule="atLeast"/>
              <w:rPr>
                <w:rFonts w:ascii="Caladea" w:hAnsi="Caladea" w:cs="Caladea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Caladea" w:hAnsi="Caladea" w:eastAsia="Arial" w:cs="Caladea"/>
                <w:b/>
                <w:bCs/>
                <w:color w:val="000000"/>
                <w:sz w:val="24"/>
                <w:szCs w:val="24"/>
              </w:rPr>
              <w:t xml:space="preserve">oženjenih / udatih </w:t>
            </w:r>
            <w:r>
              <w:rPr>
                <w:rFonts w:ascii="Caladea" w:hAnsi="Caladea" w:cs="Caladea"/>
                <w:b/>
                <w:bCs/>
                <w:sz w:val="24"/>
                <w:szCs w:val="24"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1523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17" w:lineRule="atLeast"/>
              <w:rPr>
                <w:rFonts w:ascii="Caladea" w:hAnsi="Caladea" w:cs="Caladea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Caladea" w:hAnsi="Caladea" w:eastAsia="Arial" w:cs="Caladea"/>
                <w:b w:val="0"/>
                <w:bCs w:val="0"/>
                <w:color w:val="000000"/>
                <w:sz w:val="24"/>
                <w:szCs w:val="24"/>
              </w:rPr>
              <w:t xml:space="preserve">Ostali stariji od 15 godina</w:t>
            </w:r>
            <w:r>
              <w:rPr>
                <w:rFonts w:ascii="Caladea" w:hAnsi="Caladea" w:cs="Caladea"/>
                <w:b w:val="0"/>
                <w:b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1523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17" w:lineRule="atLeast"/>
              <w:rPr>
                <w:rFonts w:ascii="Caladea" w:hAnsi="Caladea" w:cs="Caladea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Caladea" w:hAnsi="Caladea" w:eastAsia="Arial" w:cs="Caladea"/>
                <w:b/>
                <w:bCs/>
                <w:color w:val="000000"/>
                <w:sz w:val="24"/>
                <w:szCs w:val="24"/>
              </w:rPr>
              <w:t xml:space="preserve">% ostalih starijih od 15 godina</w:t>
            </w:r>
            <w:r>
              <w:rPr>
                <w:rFonts w:ascii="Caladea" w:hAnsi="Caladea" w:cs="Caladea"/>
                <w:b/>
                <w:bCs/>
                <w:sz w:val="24"/>
                <w:szCs w:val="24"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1523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17" w:lineRule="atLeast"/>
              <w:shd w:val="clear" w:color="d9d9d9" w:themeColor="background1" w:themeShade="D9" w:fill="d9d9d9" w:themeFill="background1" w:themeFillShade="D9"/>
              <w:rPr>
                <w:rFonts w:ascii="Caladea" w:hAnsi="Caladea" w:cs="Caladea"/>
                <w:sz w:val="24"/>
                <w:szCs w:val="24"/>
              </w:rPr>
              <w:suppressLineNumbers w:val="0"/>
            </w:pPr>
            <w:r>
              <w:rPr>
                <w:rFonts w:ascii="Caladea" w:hAnsi="Caladea" w:eastAsia="Arial" w:cs="Caladea"/>
                <w:color w:val="000000"/>
                <w:sz w:val="24"/>
                <w:szCs w:val="24"/>
              </w:rPr>
              <w:t xml:space="preserve">Čačak</w:t>
            </w:r>
            <w:r>
              <w:rPr>
                <w:rFonts w:ascii="Caladea" w:hAnsi="Caladea" w:cs="Caladea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1622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17" w:lineRule="atLeast"/>
              <w:shd w:val="clear" w:color="d9d9d9" w:themeColor="background1" w:themeShade="D9" w:fill="d9d9d9" w:themeFill="background1" w:themeFillShade="D9"/>
              <w:rPr>
                <w:rFonts w:ascii="Caladea" w:hAnsi="Caladea" w:cs="Caladea"/>
                <w:sz w:val="24"/>
                <w:szCs w:val="24"/>
              </w:rPr>
              <w:suppressLineNumbers w:val="0"/>
            </w:pPr>
            <w:r>
              <w:rPr>
                <w:rFonts w:ascii="Caladea" w:hAnsi="Caladea" w:eastAsia="Tahoma" w:cs="Caladea"/>
                <w:i/>
                <w:color w:val="000000"/>
                <w:sz w:val="24"/>
                <w:szCs w:val="24"/>
              </w:rPr>
              <w:t xml:space="preserve">90453</w:t>
            </w:r>
            <w:r>
              <w:rPr>
                <w:rFonts w:ascii="Caladea" w:hAnsi="Caladea" w:cs="Caladea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1623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17" w:lineRule="atLeast"/>
              <w:shd w:val="clear" w:color="d9d9d9" w:themeColor="background1" w:themeShade="D9" w:fill="d9d9d9" w:themeFill="background1" w:themeFillShade="D9"/>
              <w:rPr>
                <w:rFonts w:ascii="Caladea" w:hAnsi="Caladea" w:cs="Caladea"/>
                <w:sz w:val="24"/>
                <w:szCs w:val="24"/>
              </w:rPr>
              <w:suppressLineNumbers w:val="0"/>
            </w:pPr>
            <w:r>
              <w:rPr>
                <w:rFonts w:ascii="Caladea" w:hAnsi="Caladea" w:eastAsia="Arial" w:cs="Caladea"/>
                <w:color w:val="000000"/>
                <w:sz w:val="24"/>
                <w:szCs w:val="24"/>
              </w:rPr>
              <w:t xml:space="preserve">49.265</w:t>
            </w:r>
            <w:r>
              <w:rPr>
                <w:rFonts w:ascii="Caladea" w:hAnsi="Caladea" w:cs="Caladea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1523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17" w:lineRule="atLeast"/>
              <w:shd w:val="clear" w:color="d9d9d9" w:themeColor="background1" w:themeShade="D9" w:fill="d9d9d9" w:themeFill="background1" w:themeFillShade="D9"/>
              <w:rPr>
                <w:rFonts w:ascii="Caladea" w:hAnsi="Caladea" w:cs="Caladea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Caladea" w:hAnsi="Caladea" w:eastAsia="Arial" w:cs="Caladea"/>
                <w:b/>
                <w:bCs/>
                <w:color w:val="000000"/>
                <w:sz w:val="24"/>
                <w:szCs w:val="24"/>
              </w:rPr>
              <w:t xml:space="preserve">54 %</w:t>
            </w:r>
            <w:r>
              <w:rPr>
                <w:rFonts w:ascii="Caladea" w:hAnsi="Caladea" w:cs="Caladea"/>
                <w:b/>
                <w:bCs/>
                <w:sz w:val="24"/>
                <w:szCs w:val="24"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1523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17" w:lineRule="atLeast"/>
              <w:shd w:val="clear" w:color="d9d9d9" w:themeColor="background1" w:themeShade="D9" w:fill="d9d9d9" w:themeFill="background1" w:themeFillShade="D9"/>
              <w:rPr>
                <w:rFonts w:ascii="Caladea" w:hAnsi="Caladea" w:cs="Caladea"/>
                <w:sz w:val="24"/>
                <w:szCs w:val="24"/>
              </w:rPr>
              <w:suppressLineNumbers w:val="0"/>
            </w:pPr>
            <w:r>
              <w:rPr>
                <w:rFonts w:ascii="Caladea" w:hAnsi="Caladea" w:eastAsia="Arial" w:cs="Caladea"/>
                <w:color w:val="000000"/>
                <w:sz w:val="24"/>
                <w:szCs w:val="24"/>
              </w:rPr>
              <w:t xml:space="preserve">41.188</w:t>
            </w:r>
            <w:r>
              <w:rPr>
                <w:rFonts w:ascii="Caladea" w:hAnsi="Caladea" w:cs="Caladea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1523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17" w:lineRule="atLeast"/>
              <w:shd w:val="clear" w:color="d9d9d9" w:themeColor="background1" w:themeShade="D9" w:fill="d9d9d9" w:themeFill="background1" w:themeFillShade="D9"/>
              <w:rPr>
                <w:rFonts w:ascii="Caladea" w:hAnsi="Caladea" w:cs="Caladea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Caladea" w:hAnsi="Caladea" w:eastAsia="Arial" w:cs="Caladea"/>
                <w:b/>
                <w:bCs/>
                <w:color w:val="000000"/>
                <w:sz w:val="24"/>
                <w:szCs w:val="24"/>
              </w:rPr>
              <w:t xml:space="preserve">46 %</w:t>
            </w:r>
            <w:r>
              <w:rPr>
                <w:rFonts w:ascii="Caladea" w:hAnsi="Caladea" w:cs="Caladea"/>
                <w:b/>
                <w:bCs/>
                <w:sz w:val="24"/>
                <w:szCs w:val="24"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1523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17" w:lineRule="atLeast"/>
              <w:rPr>
                <w:rFonts w:ascii="Caladea" w:hAnsi="Caladea" w:cs="Caladea"/>
                <w:sz w:val="24"/>
                <w:szCs w:val="24"/>
              </w:rPr>
              <w:suppressLineNumbers w:val="0"/>
            </w:pPr>
            <w:r>
              <w:rPr>
                <w:rFonts w:ascii="Caladea" w:hAnsi="Caladea" w:eastAsia="Arial" w:cs="Caladea"/>
                <w:color w:val="000000"/>
                <w:sz w:val="24"/>
                <w:szCs w:val="24"/>
              </w:rPr>
              <w:t xml:space="preserve">Kraljevo</w:t>
            </w:r>
            <w:r>
              <w:rPr>
                <w:rFonts w:ascii="Caladea" w:hAnsi="Caladea" w:cs="Caladea"/>
                <w:sz w:val="24"/>
                <w:szCs w:val="24"/>
              </w:rPr>
            </w:r>
            <w:r/>
          </w:p>
        </w:tc>
        <w:tc>
          <w:tcPr>
            <w:shd w:val="clear" w:color="f2f2f2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1622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17" w:lineRule="atLeast"/>
              <w:shd w:val="clear" w:color="ffffff" w:themeColor="background1" w:fill="ffffff" w:themeFill="background1"/>
              <w:rPr>
                <w:rFonts w:ascii="Caladea" w:hAnsi="Caladea" w:cs="Caladea"/>
                <w:sz w:val="24"/>
                <w:szCs w:val="24"/>
              </w:rPr>
              <w:suppressLineNumbers w:val="0"/>
            </w:pPr>
            <w:r>
              <w:rPr>
                <w:rFonts w:ascii="Caladea" w:hAnsi="Caladea" w:eastAsia="Tahoma" w:cs="Caladea"/>
                <w:i/>
                <w:color w:val="000000"/>
                <w:sz w:val="24"/>
                <w:szCs w:val="24"/>
              </w:rPr>
              <w:t xml:space="preserve">95229</w:t>
            </w:r>
            <w:r>
              <w:rPr>
                <w:rFonts w:ascii="Caladea" w:hAnsi="Caladea" w:cs="Caladea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1623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17" w:lineRule="atLeast"/>
              <w:rPr>
                <w:rFonts w:ascii="Caladea" w:hAnsi="Caladea" w:cs="Caladea"/>
                <w:sz w:val="24"/>
                <w:szCs w:val="24"/>
              </w:rPr>
              <w:suppressLineNumbers w:val="0"/>
            </w:pPr>
            <w:r>
              <w:rPr>
                <w:rFonts w:ascii="Caladea" w:hAnsi="Caladea" w:eastAsia="Arial" w:cs="Caladea"/>
                <w:color w:val="000000"/>
                <w:sz w:val="24"/>
                <w:szCs w:val="24"/>
              </w:rPr>
              <w:t xml:space="preserve">50.810</w:t>
            </w:r>
            <w:r>
              <w:rPr>
                <w:rFonts w:ascii="Caladea" w:hAnsi="Caladea" w:cs="Caladea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1523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17" w:lineRule="atLeast"/>
              <w:rPr>
                <w:rFonts w:ascii="Caladea" w:hAnsi="Caladea" w:cs="Caladea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Caladea" w:hAnsi="Caladea" w:eastAsia="Arial" w:cs="Caladea"/>
                <w:b/>
                <w:bCs/>
                <w:color w:val="000000"/>
                <w:sz w:val="24"/>
                <w:szCs w:val="24"/>
              </w:rPr>
              <w:t xml:space="preserve">53 %</w:t>
            </w:r>
            <w:r>
              <w:rPr>
                <w:rFonts w:ascii="Caladea" w:hAnsi="Caladea" w:cs="Caladea"/>
                <w:b/>
                <w:bCs/>
                <w:sz w:val="24"/>
                <w:szCs w:val="24"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1523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17" w:lineRule="atLeast"/>
              <w:rPr>
                <w:rFonts w:ascii="Caladea" w:hAnsi="Caladea" w:cs="Caladea"/>
                <w:sz w:val="24"/>
                <w:szCs w:val="24"/>
              </w:rPr>
              <w:suppressLineNumbers w:val="0"/>
            </w:pPr>
            <w:r>
              <w:rPr>
                <w:rFonts w:ascii="Caladea" w:hAnsi="Caladea" w:eastAsia="Arial" w:cs="Caladea"/>
                <w:color w:val="000000"/>
                <w:sz w:val="24"/>
                <w:szCs w:val="24"/>
              </w:rPr>
              <w:t xml:space="preserve">44.419</w:t>
            </w:r>
            <w:r>
              <w:rPr>
                <w:rFonts w:ascii="Caladea" w:hAnsi="Caladea" w:cs="Caladea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1523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17" w:lineRule="atLeast"/>
              <w:rPr>
                <w:rFonts w:ascii="Caladea" w:hAnsi="Caladea" w:cs="Caladea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Caladea" w:hAnsi="Caladea" w:eastAsia="Arial" w:cs="Caladea"/>
                <w:b/>
                <w:bCs/>
                <w:color w:val="000000"/>
                <w:sz w:val="24"/>
                <w:szCs w:val="24"/>
              </w:rPr>
              <w:t xml:space="preserve">47 %</w:t>
            </w:r>
            <w:r>
              <w:rPr>
                <w:rFonts w:ascii="Caladea" w:hAnsi="Caladea" w:cs="Caladea"/>
                <w:b/>
                <w:bCs/>
                <w:sz w:val="24"/>
                <w:szCs w:val="24"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1523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17" w:lineRule="atLeast"/>
              <w:shd w:val="clear" w:color="d9d9d9" w:themeColor="background1" w:themeShade="D9" w:fill="d9d9d9" w:themeFill="background1" w:themeFillShade="D9"/>
              <w:rPr>
                <w:rFonts w:ascii="Caladea" w:hAnsi="Caladea" w:cs="Caladea"/>
                <w:sz w:val="24"/>
                <w:szCs w:val="24"/>
              </w:rPr>
              <w:suppressLineNumbers w:val="0"/>
            </w:pPr>
            <w:r>
              <w:rPr>
                <w:rFonts w:ascii="Caladea" w:hAnsi="Caladea" w:eastAsia="Arial" w:cs="Caladea"/>
                <w:color w:val="000000"/>
                <w:sz w:val="24"/>
                <w:szCs w:val="24"/>
              </w:rPr>
              <w:t xml:space="preserve">Novi Pazar</w:t>
            </w:r>
            <w:r>
              <w:rPr>
                <w:rFonts w:ascii="Caladea" w:hAnsi="Caladea" w:cs="Caladea"/>
                <w:sz w:val="24"/>
                <w:szCs w:val="24"/>
              </w:rPr>
            </w:r>
            <w:r/>
          </w:p>
        </w:tc>
        <w:tc>
          <w:tcPr>
            <w:shd w:val="clear" w:color="f2f2f2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1622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17" w:lineRule="atLeast"/>
              <w:shd w:val="clear" w:color="d9d9d9" w:themeColor="background1" w:themeShade="D9" w:fill="d9d9d9" w:themeFill="background1" w:themeFillShade="D9"/>
              <w:rPr>
                <w:rFonts w:ascii="Caladea" w:hAnsi="Caladea" w:cs="Caladea"/>
                <w:sz w:val="24"/>
                <w:szCs w:val="24"/>
              </w:rPr>
              <w:suppressLineNumbers w:val="0"/>
            </w:pPr>
            <w:r>
              <w:rPr>
                <w:rFonts w:ascii="Caladea" w:hAnsi="Caladea" w:eastAsia="Tahoma" w:cs="Caladea"/>
                <w:i/>
                <w:color w:val="000000"/>
                <w:sz w:val="24"/>
                <w:szCs w:val="24"/>
              </w:rPr>
              <w:t xml:space="preserve">84077</w:t>
            </w:r>
            <w:r>
              <w:rPr>
                <w:rFonts w:ascii="Caladea" w:hAnsi="Caladea" w:cs="Caladea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1623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17" w:lineRule="atLeast"/>
              <w:shd w:val="clear" w:color="d9d9d9" w:themeColor="background1" w:themeShade="D9" w:fill="d9d9d9" w:themeFill="background1" w:themeFillShade="D9"/>
              <w:rPr>
                <w:rFonts w:ascii="Caladea" w:hAnsi="Caladea" w:cs="Caladea"/>
                <w:sz w:val="24"/>
                <w:szCs w:val="24"/>
              </w:rPr>
              <w:suppressLineNumbers w:val="0"/>
            </w:pPr>
            <w:r>
              <w:rPr>
                <w:rFonts w:ascii="Caladea" w:hAnsi="Caladea" w:eastAsia="Arial" w:cs="Caladea"/>
                <w:color w:val="000000"/>
                <w:sz w:val="24"/>
                <w:szCs w:val="24"/>
              </w:rPr>
              <w:t xml:space="preserve">47.806</w:t>
            </w:r>
            <w:r>
              <w:rPr>
                <w:rFonts w:ascii="Caladea" w:hAnsi="Caladea" w:cs="Caladea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1523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17" w:lineRule="atLeast"/>
              <w:shd w:val="clear" w:color="d9d9d9" w:themeColor="background1" w:themeShade="D9" w:fill="d9d9d9" w:themeFill="background1" w:themeFillShade="D9"/>
              <w:rPr>
                <w:rFonts w:ascii="Caladea" w:hAnsi="Caladea" w:cs="Caladea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Caladea" w:hAnsi="Caladea" w:eastAsia="Arial" w:cs="Caladea"/>
                <w:b/>
                <w:bCs/>
                <w:color w:val="000000"/>
                <w:sz w:val="24"/>
                <w:szCs w:val="24"/>
              </w:rPr>
              <w:t xml:space="preserve">57 %</w:t>
            </w:r>
            <w:r>
              <w:rPr>
                <w:rFonts w:ascii="Caladea" w:hAnsi="Caladea" w:cs="Caladea"/>
                <w:b/>
                <w:bCs/>
                <w:sz w:val="24"/>
                <w:szCs w:val="24"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1523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17" w:lineRule="atLeast"/>
              <w:shd w:val="clear" w:color="d9d9d9" w:themeColor="background1" w:themeShade="D9" w:fill="d9d9d9" w:themeFill="background1" w:themeFillShade="D9"/>
              <w:rPr>
                <w:rFonts w:ascii="Caladea" w:hAnsi="Caladea" w:cs="Caladea"/>
                <w:sz w:val="24"/>
                <w:szCs w:val="24"/>
              </w:rPr>
              <w:suppressLineNumbers w:val="0"/>
            </w:pPr>
            <w:r>
              <w:rPr>
                <w:rFonts w:ascii="Caladea" w:hAnsi="Caladea" w:eastAsia="Arial" w:cs="Caladea"/>
                <w:color w:val="000000"/>
                <w:sz w:val="24"/>
                <w:szCs w:val="24"/>
              </w:rPr>
              <w:t xml:space="preserve">36.271</w:t>
            </w:r>
            <w:r>
              <w:rPr>
                <w:rFonts w:ascii="Caladea" w:hAnsi="Caladea" w:cs="Caladea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1523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17" w:lineRule="atLeast"/>
              <w:shd w:val="clear" w:color="d9d9d9" w:themeColor="background1" w:themeShade="D9" w:fill="d9d9d9" w:themeFill="background1" w:themeFillShade="D9"/>
              <w:rPr>
                <w:rFonts w:ascii="Caladea" w:hAnsi="Caladea" w:cs="Caladea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Caladea" w:hAnsi="Caladea" w:eastAsia="Arial" w:cs="Caladea"/>
                <w:b/>
                <w:bCs/>
                <w:color w:val="000000"/>
                <w:sz w:val="24"/>
                <w:szCs w:val="24"/>
              </w:rPr>
              <w:t xml:space="preserve">43 %</w:t>
            </w:r>
            <w:r>
              <w:rPr>
                <w:rFonts w:ascii="Caladea" w:hAnsi="Caladea" w:cs="Caladea"/>
                <w:b/>
                <w:bCs/>
                <w:sz w:val="24"/>
                <w:szCs w:val="24"/>
              </w:rPr>
            </w:r>
            <w:r>
              <w:rPr>
                <w:b/>
                <w:bCs/>
              </w:rPr>
            </w:r>
          </w:p>
        </w:tc>
      </w:tr>
    </w:tbl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 prvi pogled, ovakav nalaz može delovati paradoksalno, jer se brak i dalje smatra dominantnom formom porodične zajednice. Međutim, kada se posmatra u demografskom kontekstu, nizak udeo oženjenih i udatih predstavlja rezultat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kumulativnog dejstva tri ključna procesa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Prvo, u ukupnu populaciju stariju od 15 godina uključene su brojne mlađe starosne kohorte koje su po definiciji pretežno neoženjene i neudate. Produženje obrazovanja, kasnije ekonomsko osamostaljivanje i pomeranje starosne granice stupanja u brak doveli su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do značajnog rasta broja neoženjenih i neudatih u populaciji od 20 do 34 godine, čime se mehanički smanjuje ukupni udeo oženjenih i udatih.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Drugo, izražen proces demografskog starenja, naročito u Čačku i Kraljevu, dovodi do povećanja broja udovaca i, posebno, udovica. Ove kategorije predstavljaju „izlazak“ iz bračne zajednice usled smrtnosti partnera i značajno utiču na smanjenje ukupnog udela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oženjenih i udatih, iako same bračne zajednice često traju dugo.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Treće, iako je udeo razvedenih relativno nizak, njegov kumulativni efekat dodatno smanjuje broj lica u bračnoj zajednici u datom trenutku. Razvod, zajedno sa udovištvom, doprinosi fragmentaciji bračnog statusa i smanjenju „zalihe“ aktivnih bračnih zajednic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a u populaciji.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Posebno je indikativno da je udeo oženjenih i udatih najviši u Novom Pazaru (56,86%), iako ovaj grad istovremeno beleži visok udeo neoženjenih i neudatih. Ovaj prividni paradoks ukazuje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dinamičnu demografsku strukturu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u kojoj se brak odlaže, ali se i dalje sklapa u velikom broju, najčešće u mlađim i srednjim starosnim kohortama. Nasuprot tome, niži udeli u Čačku i Kraljevu reflektuju zreliju starosnu strukturu i veći udeo udovištva.</w:t>
      </w:r>
      <w:r/>
    </w:p>
    <w:p>
      <w:pPr>
        <w:ind w:left="0" w:right="0" w:firstLine="0"/>
        <w:jc w:val="both"/>
        <w:spacing w:before="240" w:after="240"/>
        <w:tabs>
          <w:tab w:val="left" w:pos="5696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Zaključno, nizak udeo oženjenih i udatih u populaciji starijoj od 15 godina ne treba tumačiti kao slabljenje institucije braka, već kao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strukturni demografski pokazatelj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koji odražava istovremeno odlaganje braka, starenje stanovništva i promene u životnom ciklusu bračnih zajednica. Ovaj pokazatelj ima visoku analitičku vrednost jer precizno ukazuje na fazu demografske tranzicije u kojoj se posmatrane sredine nalaze.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B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račna struktura stanovništva predstavlja jedan od osnovnih pokazatelja demografskih procesa, jer neposredno odražava obrasce porodičnog formiranja, stabilnost bračnih zajednica i promene u životnom ciklusu stanovništva. Analiza bračnog statusa po gradovima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omogućava sagledavanje lokalnih specifičnosti koje proizlaze iz razlika u starosnoj strukturi, migracionim tokovima, socioekonomskim uslovima i kulturnim normama.</w:t>
      </w:r>
      <w:r>
        <w:tab/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kontekstu savremenih demografskih kretanja u Srbiji, sve izraženije odlaganje stupanja u brak, produženje životnog veka i rast udela udovištva i razvoda doprinose fragmentaciji bračne strukture stanovništva. Posmatranje ovih procesa na gradskom nivou pose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bno je važno, jer urbane sredine često predstavljaju nosioce demografskih promena, ali istovremeno pokazuju značajne međusobne razlike u intenzitetu i dinamici tih promena.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ovom poglavlju analizira se bračni status stanovništva starog 15 i više godina prema polu u odabranim gradovima, na osnovu podataka Popisa stanovništva 2022. godine. Cilj analize jeste da se identifikuju razlike u udelima neoženjenih i neudatih, oženjenih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i udatih, razvedenih i udovaca, kao i da se ukaže na demografske obrasce koji stoje u osnovi tih razlika. Poseban akcenat stavljen je na odnos između bračne strukture i starosnog sastava stanovništva, kao i na implikacije koje ovi obrasci imaju na buduća d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emografska kretanja.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shd w:val="nil" w:color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b/>
          <w:bCs/>
          <w:sz w:val="36"/>
          <w:szCs w:val="3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highlight w:val="none"/>
        </w:rPr>
        <w:t xml:space="preserve">IV ZAKLJUČAK</w:t>
      </w:r>
      <w:r>
        <w:rPr>
          <w:rFonts w:ascii="Times New Roman" w:hAnsi="Times New Roman" w:eastAsia="Times New Roman" w:cs="Times New Roman"/>
          <w:b/>
          <w:bCs/>
          <w:sz w:val="36"/>
          <w:szCs w:val="36"/>
          <w:highlight w:val="none"/>
        </w:rPr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Analiza bračnog statusa stanovništva starog 15 i više godina po gradovima ukazala je na postojanje jasno diferenciranih obrazaca bračnog ponašanja, koji odražavaju različite faze demografske tranzicije i starosne strukture posmatranih sredina. Iako brak i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dalje predstavlja dominantan oblik porodične zajednice, njegov udeo u ukupnoj populaciji pokazuje znatne varijacije između gradova i ukazuje na složene demografske procese koji deluju istovremeno.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 svim analiziranim gradovima prisutan je relativno nizak udeo oženjenih i udatih u ukupnoj populaciji starijoj od 15 godina, što je posledica kombinovanog dejstva odlaganja stupanja u brak u mlađim starosnim kohortama i porasta broja udovaca i udovica u s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tarijim uzrastima. Ovaj obrazac ne ukazuje na slabljenje bračne institucije, već na promene u vremenu stupanja u brak i u strukturi životnog ciklusa bračnih zajednica.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Posebno se izdvajaju razlike u udelima neoženjenih i neudatih, koje su najizraženije u gradovima sa mlađom starosnom strukturom i dinamičnijim demografskim kretanjima. U takvim sredinama, veći broj neoženjenih i neudatih predstavlja potencijal buduće bračn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osti, dok u demografski zrelijim gradovima dominacija udovištva ukazuje na dugotrajan proces starenja stanovništva i ograničen reproduktivni potencijal.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Zaključno, analiza bračnog statusa po gradovima pokazuje da se savremeni demografski procesi ne mogu tumačiti isključivo kroz jedinstven obrazac, već zahtevaju diferencirani pristup koji uvažava lokalne specifičnosti. Uočene razlike u bračnoj strukturi sta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novništva predstavljaju važan analitički osnov za razumevanje budućih demografskih tokova i za oblikovanje ciljanih populacionih politika na gradskom nivou.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highlight w:val="none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40504020204"/>
  </w:font>
  <w:font w:name="Caladea">
    <w:panose1 w:val="02040503050406030204"/>
  </w:font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  <w:jc w:val="right"/>
    </w:pPr>
    <w:fldSimple w:instr="PAGE \* MERGEFORMAT">
      <w:r>
        <w:t xml:space="preserve">1</w:t>
      </w:r>
    </w:fldSimple>
    <w:r/>
    <w:r/>
  </w:p>
  <w:p>
    <w:pPr>
      <w:pStyle w:val="71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4"/>
    <w:next w:val="864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4"/>
    <w:next w:val="864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4"/>
    <w:next w:val="864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4"/>
    <w:next w:val="864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4"/>
    <w:next w:val="864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4"/>
    <w:next w:val="864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4"/>
    <w:next w:val="864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4"/>
    <w:next w:val="864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4"/>
    <w:next w:val="864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Title"/>
    <w:basedOn w:val="864"/>
    <w:next w:val="864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link w:val="706"/>
    <w:uiPriority w:val="10"/>
    <w:rPr>
      <w:sz w:val="48"/>
      <w:szCs w:val="48"/>
    </w:rPr>
  </w:style>
  <w:style w:type="paragraph" w:styleId="708">
    <w:name w:val="Subtitle"/>
    <w:basedOn w:val="864"/>
    <w:next w:val="864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link w:val="708"/>
    <w:uiPriority w:val="11"/>
    <w:rPr>
      <w:sz w:val="24"/>
      <w:szCs w:val="24"/>
    </w:rPr>
  </w:style>
  <w:style w:type="paragraph" w:styleId="710">
    <w:name w:val="Quote"/>
    <w:basedOn w:val="864"/>
    <w:next w:val="864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4"/>
    <w:next w:val="864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paragraph" w:styleId="714">
    <w:name w:val="Header"/>
    <w:basedOn w:val="864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Header Char"/>
    <w:link w:val="714"/>
    <w:uiPriority w:val="99"/>
  </w:style>
  <w:style w:type="paragraph" w:styleId="716">
    <w:name w:val="Footer"/>
    <w:basedOn w:val="864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Footer Char"/>
    <w:link w:val="716"/>
    <w:uiPriority w:val="99"/>
  </w:style>
  <w:style w:type="paragraph" w:styleId="718">
    <w:name w:val="Caption"/>
    <w:basedOn w:val="864"/>
    <w:next w:val="8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716"/>
    <w:uiPriority w:val="99"/>
  </w:style>
  <w:style w:type="table" w:styleId="720">
    <w:name w:val="Table Grid"/>
    <w:basedOn w:val="86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0">
    <w:name w:val="List Table 7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1">
    <w:name w:val="List Table 7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2">
    <w:name w:val="List Table 7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3">
    <w:name w:val="List Table 7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4">
    <w:name w:val="List Table 7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5">
    <w:name w:val="Lined - Accent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7">
    <w:name w:val="Lined - Accent 2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8">
    <w:name w:val="Lined - Accent 3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9">
    <w:name w:val="Lined - Accent 4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0">
    <w:name w:val="Lined - Accent 5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1">
    <w:name w:val="Lined - Accent 6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2">
    <w:name w:val="Bordered &amp; Lined - Accent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4">
    <w:name w:val="Bordered &amp; Lined - Accent 2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5">
    <w:name w:val="Bordered &amp; Lined - Accent 3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6">
    <w:name w:val="Bordered &amp; Lined - Accent 4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7">
    <w:name w:val="Bordered &amp; Lined - Accent 5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8">
    <w:name w:val="Bordered &amp; Lined - Accent 6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9">
    <w:name w:val="Bordered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6">
    <w:name w:val="Hyperlink"/>
    <w:uiPriority w:val="99"/>
    <w:unhideWhenUsed/>
    <w:rPr>
      <w:color w:val="0000ff" w:themeColor="hyperlink"/>
      <w:u w:val="single"/>
    </w:rPr>
  </w:style>
  <w:style w:type="paragraph" w:styleId="847">
    <w:name w:val="footnote text"/>
    <w:basedOn w:val="864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>
    <w:name w:val="Footnote Text Char"/>
    <w:link w:val="847"/>
    <w:uiPriority w:val="99"/>
    <w:rPr>
      <w:sz w:val="18"/>
    </w:rPr>
  </w:style>
  <w:style w:type="character" w:styleId="849">
    <w:name w:val="footnote reference"/>
    <w:uiPriority w:val="99"/>
    <w:unhideWhenUsed/>
    <w:rPr>
      <w:vertAlign w:val="superscript"/>
    </w:rPr>
  </w:style>
  <w:style w:type="paragraph" w:styleId="850">
    <w:name w:val="endnote text"/>
    <w:basedOn w:val="864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uiPriority w:val="99"/>
    <w:semiHidden/>
    <w:unhideWhenUsed/>
    <w:rPr>
      <w:vertAlign w:val="superscript"/>
    </w:rPr>
  </w:style>
  <w:style w:type="paragraph" w:styleId="853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qFormat/>
  </w:style>
  <w:style w:type="table" w:styleId="8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6" w:default="1">
    <w:name w:val="No List"/>
    <w:uiPriority w:val="99"/>
    <w:semiHidden/>
    <w:unhideWhenUsed/>
  </w:style>
  <w:style w:type="paragraph" w:styleId="867">
    <w:name w:val="No Spacing"/>
    <w:basedOn w:val="864"/>
    <w:uiPriority w:val="1"/>
    <w:qFormat/>
    <w:pPr>
      <w:spacing w:after="0" w:line="240" w:lineRule="auto"/>
    </w:pPr>
  </w:style>
  <w:style w:type="paragraph" w:styleId="868">
    <w:name w:val="List Paragraph"/>
    <w:basedOn w:val="864"/>
    <w:uiPriority w:val="34"/>
    <w:qFormat/>
    <w:pPr>
      <w:contextualSpacing/>
      <w:ind w:left="720"/>
    </w:pPr>
  </w:style>
  <w:style w:type="character" w:styleId="869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publikacije.stat.gov.rs/G2025/Pdf/G202513052.pdf" TargetMode="External"/><Relationship Id="rId11" Type="http://schemas.openxmlformats.org/officeDocument/2006/relationships/hyperlink" Target="https://publikacije.stat.gov.rs/G2025/Pdf/G202513052.pd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2026-01-02T21:30:19Z</dcterms:modified>
</cp:coreProperties>
</file>